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Kiruna kommunfullmäktige</w:t>
      </w:r>
    </w:p>
    <w:p>
      <w:pPr>
        <w:pStyle w:val="Heading1"/>
      </w:pPr>
      <w:r>
        <w:t xml:space="preserve">Bygga ut säkra cykelvägar och förbättra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Kiruna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Kiruna har långa avstånd och hårda vintrar. Brist på separata cykelvägar och gles kollektivtrafik minskar hållbart resande enligt kommunens trafikplan 2023.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Kiruna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Kiruna kommun prioriterar byggnation av separata cykelvägar till Esrange och LKAB.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linjetrafiken utökas med fler turer på kvällar och helger.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vinterunderhåll av cykelvägar förbättras med dedikerad budget.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resande sker årligen och redovisas för fullmäktige.</w:t>
      </w:r>
    </w:p>
    <w:p>
      <w:pPr>
        <w:spacing w:before="360"/>
      </w:pPr>
    </w:p>
    <w:p>
      <w:r>
        <w:t xml:space="preserve">Kiruna,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Kiruna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2026-07-14T03:54:08.022Z</dcterms:created>
  <dcterms:modified xsi:type="dcterms:W3CDTF">2026-07-14T03:54:08.022Z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